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E47F9" w14:textId="77777777" w:rsidR="00076916" w:rsidRDefault="00585A77" w:rsidP="00076916">
      <w:pPr>
        <w:spacing w:line="480" w:lineRule="auto"/>
        <w:jc w:val="center"/>
        <w:rPr>
          <w:rFonts w:ascii="Times New Roman" w:hAnsi="Times New Roman" w:cs="Times New Roman"/>
          <w:sz w:val="24"/>
          <w:szCs w:val="24"/>
        </w:rPr>
      </w:pPr>
      <w:bookmarkStart w:id="0" w:name="_GoBack"/>
      <w:bookmarkEnd w:id="0"/>
    </w:p>
    <w:p w14:paraId="0C9BF36D" w14:textId="77777777" w:rsidR="00076916" w:rsidRDefault="00585A77" w:rsidP="00076916">
      <w:pPr>
        <w:spacing w:line="480" w:lineRule="auto"/>
        <w:jc w:val="center"/>
        <w:rPr>
          <w:rFonts w:ascii="Times New Roman" w:hAnsi="Times New Roman" w:cs="Times New Roman"/>
          <w:sz w:val="24"/>
          <w:szCs w:val="24"/>
        </w:rPr>
      </w:pPr>
    </w:p>
    <w:p w14:paraId="55D65983" w14:textId="77777777" w:rsidR="00076916" w:rsidRDefault="00585A77" w:rsidP="00076916">
      <w:pPr>
        <w:spacing w:line="480" w:lineRule="auto"/>
        <w:jc w:val="center"/>
        <w:rPr>
          <w:rFonts w:ascii="Times New Roman" w:hAnsi="Times New Roman" w:cs="Times New Roman"/>
          <w:sz w:val="24"/>
          <w:szCs w:val="24"/>
        </w:rPr>
      </w:pPr>
    </w:p>
    <w:p w14:paraId="1B34EA48" w14:textId="77777777" w:rsidR="00076916" w:rsidRDefault="00585A77" w:rsidP="00076916">
      <w:pPr>
        <w:spacing w:line="480" w:lineRule="auto"/>
        <w:jc w:val="center"/>
        <w:rPr>
          <w:rFonts w:ascii="Times New Roman" w:hAnsi="Times New Roman" w:cs="Times New Roman"/>
          <w:sz w:val="24"/>
          <w:szCs w:val="24"/>
        </w:rPr>
      </w:pPr>
    </w:p>
    <w:p w14:paraId="580C9104" w14:textId="77777777" w:rsidR="00076916" w:rsidRDefault="0009732D" w:rsidP="00076916">
      <w:pPr>
        <w:spacing w:line="480" w:lineRule="auto"/>
        <w:jc w:val="center"/>
        <w:rPr>
          <w:rFonts w:ascii="Times New Roman" w:hAnsi="Times New Roman" w:cs="Times New Roman"/>
          <w:sz w:val="24"/>
          <w:szCs w:val="24"/>
        </w:rPr>
      </w:pPr>
      <w:r w:rsidRPr="00076916">
        <w:rPr>
          <w:rFonts w:ascii="Times New Roman" w:hAnsi="Times New Roman" w:cs="Times New Roman"/>
          <w:sz w:val="24"/>
          <w:szCs w:val="24"/>
        </w:rPr>
        <w:t>Week 9 Assignment</w:t>
      </w:r>
    </w:p>
    <w:p w14:paraId="75241D84" w14:textId="77777777" w:rsidR="00076916" w:rsidRDefault="0009732D" w:rsidP="0007691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58D53B5" w14:textId="77777777" w:rsidR="00076916" w:rsidRDefault="0009732D" w:rsidP="000769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14:paraId="19D0F8E2" w14:textId="77777777" w:rsidR="00076916" w:rsidRPr="00076916" w:rsidRDefault="0009732D" w:rsidP="0007691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Week 9 Assignment</w:t>
      </w:r>
    </w:p>
    <w:p w14:paraId="00E8BD70" w14:textId="77777777" w:rsidR="00DC7A51" w:rsidRPr="00076916" w:rsidRDefault="0009732D" w:rsidP="00076916">
      <w:pPr>
        <w:spacing w:line="480" w:lineRule="auto"/>
        <w:ind w:firstLine="720"/>
        <w:rPr>
          <w:rFonts w:ascii="Times New Roman" w:hAnsi="Times New Roman" w:cs="Times New Roman"/>
          <w:sz w:val="24"/>
          <w:szCs w:val="24"/>
        </w:rPr>
      </w:pPr>
      <w:r w:rsidRPr="00076916">
        <w:rPr>
          <w:rFonts w:ascii="Times New Roman" w:hAnsi="Times New Roman" w:cs="Times New Roman"/>
          <w:sz w:val="24"/>
          <w:szCs w:val="24"/>
        </w:rPr>
        <w:t>Body language is a key aspect of communication which leads to proper understanding between individuals as the various signals, and the cues are interpreted accordingly (</w:t>
      </w:r>
      <w:proofErr w:type="spellStart"/>
      <w:r w:rsidRPr="00076916">
        <w:rPr>
          <w:rFonts w:ascii="Times New Roman" w:hAnsi="Times New Roman" w:cs="Times New Roman"/>
          <w:sz w:val="24"/>
          <w:szCs w:val="24"/>
        </w:rPr>
        <w:t>Ganguly</w:t>
      </w:r>
      <w:proofErr w:type="spellEnd"/>
      <w:r w:rsidRPr="00076916">
        <w:rPr>
          <w:rFonts w:ascii="Times New Roman" w:hAnsi="Times New Roman" w:cs="Times New Roman"/>
          <w:sz w:val="24"/>
          <w:szCs w:val="24"/>
        </w:rPr>
        <w:t>, 2017). The United States government contracting officer adopts typically the Emotional cues approach, and the Relational cues approach to check on these signals of the body language and efficiently interpret the cues thus enhanced understanding through interpersonal communication.</w:t>
      </w:r>
    </w:p>
    <w:p w14:paraId="7D21E7D2" w14:textId="77777777" w:rsidR="00336F84" w:rsidRPr="00076916" w:rsidRDefault="0009732D" w:rsidP="00076916">
      <w:pPr>
        <w:tabs>
          <w:tab w:val="left" w:pos="5400"/>
        </w:tabs>
        <w:spacing w:line="480" w:lineRule="auto"/>
        <w:ind w:firstLine="720"/>
        <w:rPr>
          <w:rFonts w:ascii="Times New Roman" w:hAnsi="Times New Roman" w:cs="Times New Roman"/>
          <w:sz w:val="24"/>
          <w:szCs w:val="24"/>
        </w:rPr>
      </w:pPr>
      <w:r w:rsidRPr="00076916">
        <w:rPr>
          <w:rFonts w:ascii="Times New Roman" w:hAnsi="Times New Roman" w:cs="Times New Roman"/>
          <w:sz w:val="24"/>
          <w:szCs w:val="24"/>
        </w:rPr>
        <w:t>To begin with, the Emotional cues approach requires adequate reading and understanding of the intense feelings related to the person’s emotions. The government of the US contractor officer examines carefully the signs and signals of such aspects such as anxiety; rapid blinking, threats; widening of the eyes, cries; sadness, and the expressions illustrating some aspects of embarrassment. Effective interpretation and understanding of this body language cues enable the government to put into consideration of every employee's interest at hand through meaningful communication thereby facilitating the competency of every sector within the government</w:t>
      </w:r>
      <w:r>
        <w:rPr>
          <w:rFonts w:ascii="Times New Roman" w:hAnsi="Times New Roman" w:cs="Times New Roman"/>
          <w:sz w:val="24"/>
          <w:szCs w:val="24"/>
        </w:rPr>
        <w:t xml:space="preserve"> </w:t>
      </w:r>
      <w:r w:rsidRPr="00076916">
        <w:rPr>
          <w:rFonts w:ascii="Times New Roman" w:hAnsi="Times New Roman" w:cs="Times New Roman"/>
          <w:sz w:val="24"/>
          <w:szCs w:val="24"/>
        </w:rPr>
        <w:t>(McNair, 2017).</w:t>
      </w:r>
    </w:p>
    <w:p w14:paraId="1DFFCF66" w14:textId="77777777" w:rsidR="00265538" w:rsidRPr="00076916" w:rsidRDefault="0009732D" w:rsidP="00076916">
      <w:pPr>
        <w:tabs>
          <w:tab w:val="left" w:pos="5400"/>
        </w:tabs>
        <w:spacing w:line="480" w:lineRule="auto"/>
        <w:ind w:firstLine="720"/>
        <w:rPr>
          <w:rFonts w:ascii="Times New Roman" w:hAnsi="Times New Roman" w:cs="Times New Roman"/>
          <w:sz w:val="24"/>
          <w:szCs w:val="24"/>
        </w:rPr>
      </w:pPr>
      <w:r w:rsidRPr="00076916">
        <w:rPr>
          <w:rFonts w:ascii="Times New Roman" w:hAnsi="Times New Roman" w:cs="Times New Roman"/>
          <w:sz w:val="24"/>
          <w:szCs w:val="24"/>
        </w:rPr>
        <w:t xml:space="preserve">Rational cues approach is another beneficial approach to non-verbal communication which has been put into practical use by the US government contractor officer. The procedure requires a general interpretation and understanding of the interpersonal relationships by; reading the eyes of an individual, examining the posture as well as assessing the distancing behaviors which covey various connotative meanings. For instance, psychologists have shown that people tend to maintain focused eye contact with the partner's eyes when engaging in an exciting conversation. In contrary when people start looking up and down while minimizing direct eye contact, it usually depicts a boring subject and always ignores the conversation. Therefore, a </w:t>
      </w:r>
      <w:r w:rsidRPr="00076916">
        <w:rPr>
          <w:rFonts w:ascii="Times New Roman" w:hAnsi="Times New Roman" w:cs="Times New Roman"/>
          <w:sz w:val="24"/>
          <w:szCs w:val="24"/>
        </w:rPr>
        <w:lastRenderedPageBreak/>
        <w:t>proper acquaintance with these body expressions enhances understanding of the desires, dislikes as well as the intentions of people which thereby ensures a coordinated and appropriate exchange of views from the officers down to the ordinary people.</w:t>
      </w:r>
    </w:p>
    <w:p w14:paraId="50E537EE" w14:textId="77777777" w:rsidR="00DB54E5" w:rsidRPr="00076916" w:rsidRDefault="0009732D" w:rsidP="00076916">
      <w:pPr>
        <w:tabs>
          <w:tab w:val="left" w:pos="54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Bull</w:t>
      </w:r>
      <w:r w:rsidRPr="00076916">
        <w:rPr>
          <w:rFonts w:ascii="Times New Roman" w:hAnsi="Times New Roman" w:cs="Times New Roman"/>
          <w:sz w:val="24"/>
          <w:szCs w:val="24"/>
        </w:rPr>
        <w:t xml:space="preserve"> (2016)</w:t>
      </w:r>
      <w:r>
        <w:rPr>
          <w:rFonts w:ascii="Times New Roman" w:hAnsi="Times New Roman" w:cs="Times New Roman"/>
          <w:sz w:val="24"/>
          <w:szCs w:val="24"/>
        </w:rPr>
        <w:t>,</w:t>
      </w:r>
      <w:r w:rsidRPr="00076916">
        <w:rPr>
          <w:rFonts w:ascii="Times New Roman" w:hAnsi="Times New Roman" w:cs="Times New Roman"/>
          <w:sz w:val="24"/>
          <w:szCs w:val="24"/>
        </w:rPr>
        <w:t xml:space="preserve"> most people tend to reveal quite a significant number of information about themselves through the facial expressions and body movements. Ideally, when people are in the relaxed mode, they often display various body languages in the quest to express their thoughts and ideas. These signals are always overt patterning to the reactions illicit while in that state of mind. For example, clapping hands may mean the public acknowledgment of a given notion. Furthermore, when stressed up people usually use various facial expressions such as frowning or even rolling up the eyes as a sign of anger or grief.</w:t>
      </w:r>
    </w:p>
    <w:p w14:paraId="685A8723" w14:textId="77777777" w:rsidR="008A09B5" w:rsidRPr="00076916" w:rsidRDefault="0009732D" w:rsidP="00076916">
      <w:pPr>
        <w:tabs>
          <w:tab w:val="left" w:pos="5400"/>
          <w:tab w:val="left" w:pos="8640"/>
        </w:tabs>
        <w:spacing w:line="480" w:lineRule="auto"/>
        <w:ind w:firstLine="720"/>
        <w:rPr>
          <w:rFonts w:ascii="Times New Roman" w:hAnsi="Times New Roman" w:cs="Times New Roman"/>
          <w:sz w:val="24"/>
          <w:szCs w:val="24"/>
        </w:rPr>
      </w:pPr>
      <w:r w:rsidRPr="00076916">
        <w:rPr>
          <w:rFonts w:ascii="Times New Roman" w:hAnsi="Times New Roman" w:cs="Times New Roman"/>
          <w:sz w:val="24"/>
          <w:szCs w:val="24"/>
        </w:rPr>
        <w:t>To safeguard most of the vital information, various ways are put into consideration which ensures proper emission of signals which appears perceivable but ideally tend to have some insightful cues (Palmblad, 2016). The first tactic is the by maintaining consistency with the mannerisms depicted during the negotiation sessions. For example, maintenance of the eye contact during a learning session shows an aspect of confidence thus making hence building trust among those communicating as they are sure and aware of the communication. Secondly, controlling the facial expressions prevents the disclosure of the vital information. For instance, by maintaining a regular face, no one will determine your emotional status.</w:t>
      </w:r>
    </w:p>
    <w:p w14:paraId="291C6FE1" w14:textId="77777777" w:rsidR="00984E2F" w:rsidRDefault="0009732D" w:rsidP="00076916">
      <w:pPr>
        <w:tabs>
          <w:tab w:val="left" w:pos="5400"/>
          <w:tab w:val="left" w:pos="8640"/>
        </w:tabs>
        <w:spacing w:line="480" w:lineRule="auto"/>
        <w:ind w:firstLine="720"/>
        <w:rPr>
          <w:rFonts w:ascii="Times New Roman" w:hAnsi="Times New Roman" w:cs="Times New Roman"/>
          <w:sz w:val="24"/>
          <w:szCs w:val="24"/>
        </w:rPr>
      </w:pPr>
      <w:r w:rsidRPr="00076916">
        <w:rPr>
          <w:rFonts w:ascii="Times New Roman" w:hAnsi="Times New Roman" w:cs="Times New Roman"/>
          <w:sz w:val="24"/>
          <w:szCs w:val="24"/>
        </w:rPr>
        <w:t xml:space="preserve">Nonverbal communication is, therefore, a more efficient aspect of conveying information (Burgoon, 2016). Most importantly, it is necessary to interpret and understand fully an individual’s body language before beginning most of the negotiation sessions. Various approaches may be used in determining a person's behavior either by having a conversation or by </w:t>
      </w:r>
      <w:r w:rsidRPr="00076916">
        <w:rPr>
          <w:rFonts w:ascii="Times New Roman" w:hAnsi="Times New Roman" w:cs="Times New Roman"/>
          <w:sz w:val="24"/>
          <w:szCs w:val="24"/>
        </w:rPr>
        <w:lastRenderedPageBreak/>
        <w:t>simple taking the person out and assessing the behavior through a normal conversation. The method is very useful in business or firm whereby an employer may get information from the employees through their facial expressions as well as the body movements. Moreover, at times the employees may conceal the info deliberately by being conscious on how to react to particular situations. For instance, when approached by the manager, they may tend to maintain eye contact which henceforth makes the manager comfortable.</w:t>
      </w:r>
    </w:p>
    <w:p w14:paraId="287D67BD" w14:textId="77777777" w:rsidR="00076916" w:rsidRDefault="0009732D" w:rsidP="0007691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E01922D" w14:textId="77777777" w:rsidR="00076916" w:rsidRPr="00076916" w:rsidRDefault="0009732D" w:rsidP="00076916">
      <w:pPr>
        <w:tabs>
          <w:tab w:val="left" w:pos="5400"/>
          <w:tab w:val="left" w:pos="864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D51C45A" w14:textId="77777777" w:rsidR="00076916" w:rsidRPr="00076916" w:rsidRDefault="0009732D" w:rsidP="00076916">
      <w:pPr>
        <w:tabs>
          <w:tab w:val="left" w:pos="5400"/>
          <w:tab w:val="left" w:pos="8640"/>
        </w:tabs>
        <w:spacing w:line="480" w:lineRule="auto"/>
        <w:ind w:left="720" w:hanging="720"/>
        <w:rPr>
          <w:rFonts w:ascii="Times New Roman" w:hAnsi="Times New Roman" w:cs="Times New Roman"/>
          <w:sz w:val="24"/>
          <w:szCs w:val="24"/>
        </w:rPr>
      </w:pPr>
      <w:r w:rsidRPr="00076916">
        <w:rPr>
          <w:rFonts w:ascii="Times New Roman" w:hAnsi="Times New Roman" w:cs="Times New Roman"/>
          <w:color w:val="222222"/>
          <w:sz w:val="24"/>
          <w:szCs w:val="24"/>
          <w:shd w:val="clear" w:color="auto" w:fill="FFFFFF"/>
        </w:rPr>
        <w:t>Bull, P. E. (2016). </w:t>
      </w:r>
      <w:r w:rsidRPr="00406423">
        <w:rPr>
          <w:rFonts w:ascii="Times New Roman" w:hAnsi="Times New Roman" w:cs="Times New Roman"/>
          <w:iCs/>
          <w:color w:val="222222"/>
          <w:sz w:val="24"/>
          <w:szCs w:val="24"/>
          <w:shd w:val="clear" w:color="auto" w:fill="FFFFFF"/>
        </w:rPr>
        <w:t>Posture &amp; gesture</w:t>
      </w:r>
      <w:r w:rsidRPr="00076916">
        <w:rPr>
          <w:rFonts w:ascii="Times New Roman" w:hAnsi="Times New Roman" w:cs="Times New Roman"/>
          <w:color w:val="222222"/>
          <w:sz w:val="24"/>
          <w:szCs w:val="24"/>
          <w:shd w:val="clear" w:color="auto" w:fill="FFFFFF"/>
        </w:rPr>
        <w:t> (Vol. 16). Elsevier.</w:t>
      </w:r>
    </w:p>
    <w:p w14:paraId="54E6A236" w14:textId="77777777" w:rsidR="00076916" w:rsidRPr="00076916" w:rsidRDefault="0009732D" w:rsidP="00076916">
      <w:pPr>
        <w:tabs>
          <w:tab w:val="left" w:pos="5400"/>
          <w:tab w:val="left" w:pos="8640"/>
        </w:tabs>
        <w:spacing w:line="480" w:lineRule="auto"/>
        <w:ind w:left="720" w:hanging="720"/>
        <w:rPr>
          <w:rFonts w:ascii="Times New Roman" w:hAnsi="Times New Roman" w:cs="Times New Roman"/>
          <w:color w:val="222222"/>
          <w:sz w:val="24"/>
          <w:szCs w:val="24"/>
          <w:shd w:val="clear" w:color="auto" w:fill="FFFFFF"/>
        </w:rPr>
      </w:pPr>
      <w:r w:rsidRPr="00076916">
        <w:rPr>
          <w:rFonts w:ascii="Times New Roman" w:hAnsi="Times New Roman" w:cs="Times New Roman"/>
          <w:color w:val="222222"/>
          <w:sz w:val="24"/>
          <w:szCs w:val="24"/>
          <w:shd w:val="clear" w:color="auto" w:fill="FFFFFF"/>
        </w:rPr>
        <w:t>Burgoon, J. K., Guerrero, L. K., &amp; Floyd, K. (2016). </w:t>
      </w:r>
      <w:r w:rsidRPr="00406423">
        <w:rPr>
          <w:rFonts w:ascii="Times New Roman" w:hAnsi="Times New Roman" w:cs="Times New Roman"/>
          <w:iCs/>
          <w:color w:val="222222"/>
          <w:sz w:val="24"/>
          <w:szCs w:val="24"/>
          <w:shd w:val="clear" w:color="auto" w:fill="FFFFFF"/>
        </w:rPr>
        <w:t>Nonverbal communication</w:t>
      </w:r>
      <w:r w:rsidRPr="00076916">
        <w:rPr>
          <w:rFonts w:ascii="Times New Roman" w:hAnsi="Times New Roman" w:cs="Times New Roman"/>
          <w:color w:val="222222"/>
          <w:sz w:val="24"/>
          <w:szCs w:val="24"/>
          <w:shd w:val="clear" w:color="auto" w:fill="FFFFFF"/>
        </w:rPr>
        <w:t>. Routledge.</w:t>
      </w:r>
    </w:p>
    <w:p w14:paraId="2EE9D293" w14:textId="77777777" w:rsidR="00076916" w:rsidRPr="00076916" w:rsidRDefault="0009732D" w:rsidP="00076916">
      <w:pPr>
        <w:tabs>
          <w:tab w:val="left" w:pos="5400"/>
          <w:tab w:val="left" w:pos="8640"/>
        </w:tabs>
        <w:spacing w:line="480" w:lineRule="auto"/>
        <w:ind w:left="720" w:hanging="720"/>
        <w:rPr>
          <w:rFonts w:ascii="Times New Roman" w:hAnsi="Times New Roman" w:cs="Times New Roman"/>
          <w:color w:val="222222"/>
          <w:sz w:val="24"/>
          <w:szCs w:val="24"/>
          <w:shd w:val="clear" w:color="auto" w:fill="FFFFFF"/>
        </w:rPr>
      </w:pPr>
      <w:r w:rsidRPr="00076916">
        <w:rPr>
          <w:rFonts w:ascii="Times New Roman" w:hAnsi="Times New Roman" w:cs="Times New Roman"/>
          <w:color w:val="222222"/>
          <w:sz w:val="24"/>
          <w:szCs w:val="24"/>
          <w:shd w:val="clear" w:color="auto" w:fill="FFFFFF"/>
        </w:rPr>
        <w:t>Ganguly, S. (2017). Understanding nonverbal cues: A key to success in interviews. </w:t>
      </w:r>
      <w:r w:rsidRPr="00076916">
        <w:rPr>
          <w:rFonts w:ascii="Times New Roman" w:hAnsi="Times New Roman" w:cs="Times New Roman"/>
          <w:i/>
          <w:iCs/>
          <w:color w:val="222222"/>
          <w:sz w:val="24"/>
          <w:szCs w:val="24"/>
          <w:shd w:val="clear" w:color="auto" w:fill="FFFFFF"/>
        </w:rPr>
        <w:t>IUP Journal of Soft Skills</w:t>
      </w:r>
      <w:r w:rsidRPr="00076916">
        <w:rPr>
          <w:rFonts w:ascii="Times New Roman" w:hAnsi="Times New Roman" w:cs="Times New Roman"/>
          <w:color w:val="222222"/>
          <w:sz w:val="24"/>
          <w:szCs w:val="24"/>
          <w:shd w:val="clear" w:color="auto" w:fill="FFFFFF"/>
        </w:rPr>
        <w:t>, </w:t>
      </w:r>
      <w:r w:rsidRPr="00076916">
        <w:rPr>
          <w:rFonts w:ascii="Times New Roman" w:hAnsi="Times New Roman" w:cs="Times New Roman"/>
          <w:i/>
          <w:iCs/>
          <w:color w:val="222222"/>
          <w:sz w:val="24"/>
          <w:szCs w:val="24"/>
          <w:shd w:val="clear" w:color="auto" w:fill="FFFFFF"/>
        </w:rPr>
        <w:t>11</w:t>
      </w:r>
      <w:r w:rsidRPr="00076916">
        <w:rPr>
          <w:rFonts w:ascii="Times New Roman" w:hAnsi="Times New Roman" w:cs="Times New Roman"/>
          <w:color w:val="222222"/>
          <w:sz w:val="24"/>
          <w:szCs w:val="24"/>
          <w:shd w:val="clear" w:color="auto" w:fill="FFFFFF"/>
        </w:rPr>
        <w:t>(2).</w:t>
      </w:r>
    </w:p>
    <w:p w14:paraId="5B402CE3" w14:textId="77777777" w:rsidR="00076916" w:rsidRPr="00076916" w:rsidRDefault="0009732D" w:rsidP="00076916">
      <w:pPr>
        <w:tabs>
          <w:tab w:val="left" w:pos="5400"/>
          <w:tab w:val="left" w:pos="8640"/>
        </w:tabs>
        <w:spacing w:line="480" w:lineRule="auto"/>
        <w:ind w:left="720" w:hanging="720"/>
        <w:rPr>
          <w:rFonts w:ascii="Times New Roman" w:hAnsi="Times New Roman" w:cs="Times New Roman"/>
          <w:color w:val="222222"/>
          <w:sz w:val="24"/>
          <w:szCs w:val="24"/>
          <w:shd w:val="clear" w:color="auto" w:fill="FFFFFF"/>
        </w:rPr>
      </w:pPr>
      <w:r w:rsidRPr="00076916">
        <w:rPr>
          <w:rFonts w:ascii="Times New Roman" w:hAnsi="Times New Roman" w:cs="Times New Roman"/>
          <w:color w:val="222222"/>
          <w:sz w:val="24"/>
          <w:szCs w:val="24"/>
          <w:shd w:val="clear" w:color="auto" w:fill="FFFFFF"/>
        </w:rPr>
        <w:t>McNair, B. (2017). </w:t>
      </w:r>
      <w:r w:rsidRPr="00406423">
        <w:rPr>
          <w:rFonts w:ascii="Times New Roman" w:hAnsi="Times New Roman" w:cs="Times New Roman"/>
          <w:iCs/>
          <w:color w:val="222222"/>
          <w:sz w:val="24"/>
          <w:szCs w:val="24"/>
          <w:shd w:val="clear" w:color="auto" w:fill="FFFFFF"/>
        </w:rPr>
        <w:t>An introduction to political communication</w:t>
      </w:r>
      <w:r w:rsidRPr="00406423">
        <w:rPr>
          <w:rFonts w:ascii="Times New Roman" w:hAnsi="Times New Roman" w:cs="Times New Roman"/>
          <w:color w:val="222222"/>
          <w:sz w:val="24"/>
          <w:szCs w:val="24"/>
          <w:shd w:val="clear" w:color="auto" w:fill="FFFFFF"/>
        </w:rPr>
        <w:t>.</w:t>
      </w:r>
      <w:r w:rsidRPr="00076916">
        <w:rPr>
          <w:rFonts w:ascii="Times New Roman" w:hAnsi="Times New Roman" w:cs="Times New Roman"/>
          <w:color w:val="222222"/>
          <w:sz w:val="24"/>
          <w:szCs w:val="24"/>
          <w:shd w:val="clear" w:color="auto" w:fill="FFFFFF"/>
        </w:rPr>
        <w:t xml:space="preserve"> Taylor &amp; Francis.</w:t>
      </w:r>
    </w:p>
    <w:p w14:paraId="4806F85A" w14:textId="77777777" w:rsidR="00076916" w:rsidRPr="00076916" w:rsidRDefault="0009732D" w:rsidP="00076916">
      <w:pPr>
        <w:tabs>
          <w:tab w:val="left" w:pos="5400"/>
          <w:tab w:val="left" w:pos="8640"/>
        </w:tabs>
        <w:spacing w:line="480" w:lineRule="auto"/>
        <w:ind w:left="720" w:hanging="720"/>
        <w:rPr>
          <w:rFonts w:ascii="Times New Roman" w:hAnsi="Times New Roman" w:cs="Times New Roman"/>
          <w:color w:val="222222"/>
          <w:sz w:val="24"/>
          <w:szCs w:val="24"/>
          <w:shd w:val="clear" w:color="auto" w:fill="FFFFFF"/>
        </w:rPr>
      </w:pPr>
      <w:r w:rsidRPr="00076916">
        <w:rPr>
          <w:rFonts w:ascii="Times New Roman" w:hAnsi="Times New Roman" w:cs="Times New Roman"/>
          <w:color w:val="222222"/>
          <w:sz w:val="24"/>
          <w:szCs w:val="24"/>
          <w:shd w:val="clear" w:color="auto" w:fill="FFFFFF"/>
        </w:rPr>
        <w:t>Palmblad, J. (2016). Bridging the gap between artist and audience: An exploratory comparative study on the cognitive impact of proficiency and applied mental models on the unmediated understanding of design and affordance.</w:t>
      </w:r>
    </w:p>
    <w:sectPr w:rsidR="00076916" w:rsidRPr="00076916" w:rsidSect="0007691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51A00" w14:textId="77777777" w:rsidR="00585A77" w:rsidRDefault="00585A77">
      <w:pPr>
        <w:spacing w:after="0" w:line="240" w:lineRule="auto"/>
      </w:pPr>
      <w:r>
        <w:separator/>
      </w:r>
    </w:p>
  </w:endnote>
  <w:endnote w:type="continuationSeparator" w:id="0">
    <w:p w14:paraId="6CFC81CB" w14:textId="77777777" w:rsidR="00585A77" w:rsidRDefault="00585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9D17A" w14:textId="77777777" w:rsidR="00585A77" w:rsidRDefault="00585A77">
      <w:pPr>
        <w:spacing w:after="0" w:line="240" w:lineRule="auto"/>
      </w:pPr>
      <w:r>
        <w:separator/>
      </w:r>
    </w:p>
  </w:footnote>
  <w:footnote w:type="continuationSeparator" w:id="0">
    <w:p w14:paraId="164F2432" w14:textId="77777777" w:rsidR="00585A77" w:rsidRDefault="00585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7208117"/>
      <w:docPartObj>
        <w:docPartGallery w:val="Page Numbers (Top of Page)"/>
        <w:docPartUnique/>
      </w:docPartObj>
    </w:sdtPr>
    <w:sdtEndPr>
      <w:rPr>
        <w:noProof/>
      </w:rPr>
    </w:sdtEndPr>
    <w:sdtContent>
      <w:p w14:paraId="04EC876C" w14:textId="0683FD18" w:rsidR="00076916" w:rsidRPr="00076916" w:rsidRDefault="0009732D">
        <w:pPr>
          <w:pStyle w:val="Header"/>
          <w:jc w:val="right"/>
          <w:rPr>
            <w:rFonts w:ascii="Times New Roman" w:hAnsi="Times New Roman" w:cs="Times New Roman"/>
            <w:sz w:val="24"/>
            <w:szCs w:val="24"/>
          </w:rPr>
        </w:pPr>
        <w:r w:rsidRPr="00076916">
          <w:rPr>
            <w:rFonts w:ascii="Times New Roman" w:hAnsi="Times New Roman" w:cs="Times New Roman"/>
            <w:sz w:val="24"/>
            <w:szCs w:val="24"/>
          </w:rPr>
          <w:t>WEEK 9 ASSIGNMENT</w:t>
        </w:r>
        <w:r>
          <w:rPr>
            <w:rFonts w:ascii="Times New Roman" w:hAnsi="Times New Roman" w:cs="Times New Roman"/>
            <w:sz w:val="24"/>
            <w:szCs w:val="24"/>
          </w:rPr>
          <w:t xml:space="preserve">                                                                                                                </w:t>
        </w:r>
        <w:r w:rsidRPr="00076916">
          <w:rPr>
            <w:rFonts w:ascii="Times New Roman" w:hAnsi="Times New Roman" w:cs="Times New Roman"/>
            <w:sz w:val="24"/>
            <w:szCs w:val="24"/>
          </w:rPr>
          <w:fldChar w:fldCharType="begin"/>
        </w:r>
        <w:r w:rsidRPr="00076916">
          <w:rPr>
            <w:rFonts w:ascii="Times New Roman" w:hAnsi="Times New Roman" w:cs="Times New Roman"/>
            <w:sz w:val="24"/>
            <w:szCs w:val="24"/>
          </w:rPr>
          <w:instrText xml:space="preserve"> PAGE   \* MERGEFORMAT </w:instrText>
        </w:r>
        <w:r w:rsidRPr="00076916">
          <w:rPr>
            <w:rFonts w:ascii="Times New Roman" w:hAnsi="Times New Roman" w:cs="Times New Roman"/>
            <w:sz w:val="24"/>
            <w:szCs w:val="24"/>
          </w:rPr>
          <w:fldChar w:fldCharType="separate"/>
        </w:r>
        <w:r w:rsidR="00FB3506">
          <w:rPr>
            <w:rFonts w:ascii="Times New Roman" w:hAnsi="Times New Roman" w:cs="Times New Roman"/>
            <w:noProof/>
            <w:sz w:val="24"/>
            <w:szCs w:val="24"/>
          </w:rPr>
          <w:t>4</w:t>
        </w:r>
        <w:r w:rsidRPr="00076916">
          <w:rPr>
            <w:rFonts w:ascii="Times New Roman" w:hAnsi="Times New Roman" w:cs="Times New Roman"/>
            <w:noProof/>
            <w:sz w:val="24"/>
            <w:szCs w:val="24"/>
          </w:rPr>
          <w:fldChar w:fldCharType="end"/>
        </w:r>
      </w:p>
    </w:sdtContent>
  </w:sdt>
  <w:p w14:paraId="0113F881" w14:textId="77777777" w:rsidR="00076916" w:rsidRPr="00076916" w:rsidRDefault="00585A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F1F07" w14:textId="77777777" w:rsidR="00076916" w:rsidRPr="00076916" w:rsidRDefault="0009732D" w:rsidP="00076916">
    <w:pPr>
      <w:pStyle w:val="Header"/>
      <w:rPr>
        <w:rFonts w:ascii="Times New Roman" w:hAnsi="Times New Roman" w:cs="Times New Roman"/>
        <w:sz w:val="24"/>
        <w:szCs w:val="24"/>
      </w:rPr>
    </w:pPr>
    <w:r w:rsidRPr="00076916">
      <w:rPr>
        <w:rFonts w:ascii="Times New Roman" w:hAnsi="Times New Roman" w:cs="Times New Roman"/>
        <w:sz w:val="24"/>
        <w:szCs w:val="24"/>
      </w:rPr>
      <w:t>Running head: WEEK 9 ASSIGNMENT</w:t>
    </w:r>
  </w:p>
  <w:p w14:paraId="3D3638F8" w14:textId="77777777" w:rsidR="00076916" w:rsidRPr="00076916" w:rsidRDefault="00585A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53B"/>
    <w:rsid w:val="0009732D"/>
    <w:rsid w:val="00256706"/>
    <w:rsid w:val="0033453B"/>
    <w:rsid w:val="00585A77"/>
    <w:rsid w:val="00FB3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9F83F5-64D8-463B-B996-50DAE7D0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916"/>
  </w:style>
  <w:style w:type="paragraph" w:styleId="Footer">
    <w:name w:val="footer"/>
    <w:basedOn w:val="Normal"/>
    <w:link w:val="FooterChar"/>
    <w:uiPriority w:val="99"/>
    <w:unhideWhenUsed/>
    <w:rsid w:val="00076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91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567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7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amos kamau</cp:lastModifiedBy>
  <cp:revision>2</cp:revision>
  <dcterms:created xsi:type="dcterms:W3CDTF">2018-03-04T18:43:00Z</dcterms:created>
  <dcterms:modified xsi:type="dcterms:W3CDTF">2018-03-04T18:43:00Z</dcterms:modified>
</cp:coreProperties>
</file>